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76" w:lineRule="auto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  <w:lang w:val="en-US"/>
        </w:rPr>
        <w:t>DESCRIPTION</w:t>
      </w:r>
    </w:p>
    <w:p>
      <w:pPr>
        <w:pStyle w:val="Body"/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Surface Polish supplied and installed by Dancer Design is a cement-based overlay installed at </w:t>
      </w:r>
      <w:r>
        <w:rPr>
          <w:rFonts w:ascii="Times New Roman" w:hAnsi="Times New Roman"/>
          <w:rtl w:val="0"/>
          <w:lang w:val="en-US"/>
        </w:rPr>
        <w:t>3/8</w:t>
      </w:r>
      <w:r>
        <w:rPr>
          <w:rFonts w:ascii="Times New Roman" w:hAnsi="Times New Roman" w:hint="default"/>
          <w:rtl w:val="0"/>
          <w:lang w:val="en-US"/>
        </w:rPr>
        <w:t xml:space="preserve">” </w:t>
      </w:r>
      <w:r>
        <w:rPr>
          <w:rFonts w:ascii="Times New Roman" w:hAnsi="Times New Roman"/>
          <w:rtl w:val="0"/>
          <w:lang w:val="en-US"/>
        </w:rPr>
        <w:t xml:space="preserve">thick. The finished product resembles traditional Class B aggregate polished concrete floors and can be used in the same installations as traditional polished concrete. </w:t>
      </w:r>
    </w:p>
    <w:p>
      <w:pPr>
        <w:pStyle w:val="Body"/>
        <w:spacing w:line="276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inline distT="0" distB="0" distL="0" distR="0">
            <wp:extent cx="5900738" cy="1898071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602" t="0" r="2242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00738" cy="18980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"https://dancer.design/surface-polish/"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https://dancer.design/surface-polish/</w:t>
      </w:r>
      <w:r>
        <w:rPr/>
        <w:fldChar w:fldCharType="end" w:fldLock="0"/>
      </w:r>
      <w:r>
        <w:rPr>
          <w:rStyle w:val="None"/>
          <w:rFonts w:ascii="Times New Roman" w:hAnsi="Times New Roman"/>
          <w:rtl w:val="0"/>
        </w:rPr>
        <w:t xml:space="preserve">  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2222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Uniform Design. 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Provides more consistent aggregate exposure across the floor.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Customizable. 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Choose from dyes or stains.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New Surface. 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Covers trenching, repairs, and unlevel surfaces.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Additional Options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Times New Roman" w:hAnsi="Times New Roman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Penetrating Dye or Reactive Stain. Define your space by adding color to your floors.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Times New Roman" w:hAnsi="Times New Roman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Custom Logos. Leave a long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-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lasting mark with your brand.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u w:val="single"/>
        </w:rPr>
      </w:pPr>
      <w:r>
        <w:rPr>
          <w:rStyle w:val="None"/>
          <w:rFonts w:ascii="Times New Roman" w:hAnsi="Times New Roman"/>
          <w:u w:val="single"/>
          <w:rtl w:val="0"/>
          <w:lang w:val="en-US"/>
        </w:rPr>
        <w:t>LIMITATIONS:</w:t>
      </w:r>
      <w:r>
        <w:rPr>
          <w:rStyle w:val="None"/>
          <w:rFonts w:ascii="Times New Roman" w:hAnsi="Times New Roman"/>
          <w:rtl w:val="0"/>
          <w:lang w:val="en-US"/>
        </w:rPr>
        <w:t xml:space="preserve"> Not to be used in kitchen environments with fryers or commercial dishwashing equipment. Moderate vehicle traffic only.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u w:val="single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u w:val="single"/>
        </w:rPr>
      </w:pPr>
      <w:r>
        <w:rPr>
          <w:rStyle w:val="None"/>
          <w:rFonts w:ascii="Times New Roman" w:hAnsi="Times New Roman"/>
          <w:u w:val="single"/>
          <w:rtl w:val="0"/>
          <w:lang w:val="en-US"/>
        </w:rPr>
        <w:t>QUICK SPEC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de-DE"/>
        </w:rPr>
        <w:t>SURFACE POLISH OVERLAY, DANCER DESIGN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COLOR: TBD BY ARCHITECT FROM MANUFACTURER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de-DE"/>
        </w:rPr>
        <w:t>S FULL RANGE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FINISH: TBD BY ARCHITECT </w:t>
      </w:r>
      <w:r>
        <w:rPr>
          <w:rStyle w:val="None"/>
          <w:rFonts w:ascii="Times New Roman" w:hAnsi="Times New Roman" w:hint="default"/>
          <w:rtl w:val="0"/>
          <w:lang w:val="en-US"/>
        </w:rPr>
        <w:t xml:space="preserve">– </w:t>
      </w:r>
      <w:r>
        <w:rPr>
          <w:rStyle w:val="None"/>
          <w:rFonts w:ascii="Times New Roman" w:hAnsi="Times New Roman"/>
          <w:rtl w:val="0"/>
          <w:lang w:val="de-DE"/>
        </w:rPr>
        <w:t>POLISHED OR SEALED SURFACE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Samples of colors and finishes provided by Dancer Design.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u w:val="single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Contact: Nick Dancer, 260-415-1951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u w:val="single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u w:val="single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Dancer Design offers AIA Accredited Courses for Polished Concrete</w:t>
      </w:r>
      <w:r>
        <w:rPr>
          <w:rStyle w:val="None"/>
          <w:rFonts w:ascii="Times New Roman" w:hAnsi="Times New Roman"/>
          <w:rtl w:val="0"/>
          <w:lang w:val="en-US"/>
        </w:rPr>
        <w:t xml:space="preserve"> and</w:t>
      </w:r>
      <w:r>
        <w:rPr>
          <w:rStyle w:val="None"/>
          <w:rFonts w:ascii="Times New Roman" w:hAnsi="Times New Roman"/>
          <w:rtl w:val="0"/>
          <w:lang w:val="en-US"/>
        </w:rPr>
        <w:t xml:space="preserve"> Epoxy Coatings, and Terrazzo Flooring in your office or ours.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"https://dancer.design/continuing-education/"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https://dancer.design/continuing-education/</w:t>
      </w:r>
      <w:r>
        <w:rPr/>
        <w:fldChar w:fldCharType="end" w:fldLock="0"/>
      </w:r>
      <w:r>
        <w:rPr>
          <w:rStyle w:val="None"/>
          <w:rFonts w:ascii="Times New Roman" w:hAnsi="Times New Roman"/>
          <w:rtl w:val="0"/>
        </w:rPr>
        <w:t xml:space="preserve">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Please contact us for budget pricing, samples, or design considerations.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Nick Dancer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c. 260-415-1951.</w:t>
      </w:r>
    </w:p>
    <w:p>
      <w:pPr>
        <w:pStyle w:val="Body"/>
        <w:spacing w:line="276" w:lineRule="auto"/>
      </w:pPr>
      <w:r>
        <w:rPr>
          <w:rStyle w:val="None"/>
          <w:rFonts w:ascii="Times New Roman" w:hAnsi="Times New Roman"/>
          <w:rtl w:val="0"/>
          <w:lang w:val="en-US"/>
        </w:rPr>
        <w:t xml:space="preserve">e.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"mailto:nick@dancer.design"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nick@dancer.design</w:t>
      </w:r>
      <w:r>
        <w:rPr/>
        <w:fldChar w:fldCharType="end" w:fldLock="0"/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PART 1 </w:t>
      </w:r>
      <w:r>
        <w:rPr>
          <w:rStyle w:val="None"/>
          <w:rFonts w:ascii="Times New Roman" w:hAnsi="Times New Roman" w:hint="default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one"/>
          <w:rFonts w:ascii="Times New Roman" w:hAnsi="Times New Roman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GENERAL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1.1 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SUMMARY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Section includes products and procedures for a polished concrete floor topping designated area as specified herein, as indicated on drawings. </w:t>
      </w:r>
    </w:p>
    <w:p>
      <w:pPr>
        <w:pStyle w:val="Body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The work shall consist of preparation of the concrete substrate, furnishing and </w:t>
      </w:r>
      <w:r>
        <w:rPr>
          <w:rStyle w:val="None"/>
          <w:rFonts w:ascii="Times New Roman" w:hAnsi="Times New Roman"/>
          <w:rtl w:val="0"/>
          <w:lang w:val="en-US"/>
        </w:rPr>
        <w:t>application of all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the steps and procedures relating to the installation of this flooring, including primer, sand broadcast, and installation of 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3/8</w:t>
      </w:r>
      <w:r>
        <w:rPr>
          <w:rStyle w:val="None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floor topping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to then be polished. </w:t>
      </w:r>
    </w:p>
    <w:p>
      <w:pPr>
        <w:pStyle w:val="Body"/>
        <w:spacing w:line="276" w:lineRule="auto"/>
        <w:ind w:left="720" w:firstLine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6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Relative humidity-based moisture readings to be done by 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the 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installation contractor prior to installation. Epoxy</w:t>
      </w:r>
      <w:r>
        <w:rPr>
          <w:rStyle w:val="None"/>
          <w:rFonts w:ascii="Times New Roman" w:hAnsi="Times New Roman"/>
          <w:rtl w:val="0"/>
          <w:lang w:val="es-ES_tradnl"/>
        </w:rPr>
        <w:t xml:space="preserve"> primer 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contractor to submit readings </w:t>
      </w:r>
      <w:r>
        <w:rPr>
          <w:rStyle w:val="None"/>
          <w:rFonts w:ascii="Times New Roman" w:hAnsi="Times New Roman"/>
          <w:rtl w:val="0"/>
          <w:lang w:val="en-US"/>
        </w:rPr>
        <w:t>to the General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Contractor. 3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superscript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party moisture readings are also recommended. </w:t>
      </w:r>
    </w:p>
    <w:p>
      <w:pPr>
        <w:pStyle w:val="Body"/>
        <w:spacing w:line="276" w:lineRule="auto"/>
        <w:ind w:left="720" w:firstLine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ind w:left="720" w:firstLine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1.2 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SUBMITTALS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8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Product Data: Manufacturer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technical literature for each product indicated, specified, or required.</w:t>
      </w:r>
    </w:p>
    <w:p>
      <w:pPr>
        <w:pStyle w:val="Body"/>
        <w:numPr>
          <w:ilvl w:val="0"/>
          <w:numId w:val="8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Samples: For each type of exposure, finish, or color. Sample size minimum 5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x 5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spacing w:line="276" w:lineRule="auto"/>
        <w:ind w:firstLine="720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76" w:lineRule="auto"/>
        <w:ind w:firstLine="72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1.3 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QUALITY ASSURANCE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10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Qualifications: Company experienced in performing work similar in design, products, and extent to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scope of this project; with a record of successful in-service performance; and with sufficient production capability, facilities, and personnel to produc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specified work.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Manufacturer Qualification: Approved </w:t>
      </w:r>
      <w:r>
        <w:rPr>
          <w:rStyle w:val="None"/>
          <w:rFonts w:ascii="Times New Roman" w:hAnsi="Times New Roman"/>
          <w:rtl w:val="0"/>
          <w:lang w:val="en-US"/>
        </w:rPr>
        <w:t>by the manufacturer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of topping products. </w:t>
      </w:r>
    </w:p>
    <w:p>
      <w:pPr>
        <w:pStyle w:val="Body"/>
        <w:spacing w:line="276" w:lineRule="auto"/>
        <w:ind w:firstLine="72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ind w:firstLine="72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1.4 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ab/>
        <w:t>FIELD CONDITIONS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Concrete flooring to be available and open for preparation steps. </w:t>
      </w:r>
      <w:r>
        <w:rPr>
          <w:rStyle w:val="None"/>
          <w:rFonts w:ascii="Times New Roman" w:hAnsi="Times New Roman"/>
          <w:rtl w:val="0"/>
          <w:lang w:val="en-US"/>
        </w:rPr>
        <w:t>Once the floor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is prepared, only allow foot traffic on the exposed surface. </w:t>
      </w:r>
    </w:p>
    <w:p>
      <w:pPr>
        <w:pStyle w:val="Body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Adequate lighting to be provided </w:t>
      </w:r>
      <w:r>
        <w:rPr>
          <w:rStyle w:val="None"/>
          <w:rFonts w:ascii="Times New Roman" w:hAnsi="Times New Roman"/>
          <w:rtl w:val="0"/>
          <w:lang w:val="en-US"/>
        </w:rPr>
        <w:t>by the General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Contractor or Owner prior to the installation of flooring. </w:t>
      </w:r>
    </w:p>
    <w:p>
      <w:pPr>
        <w:pStyle w:val="Body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Area for installation to be maintained at a temperature between 50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°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F </w:t>
      </w:r>
      <w:r>
        <w:rPr>
          <w:rStyle w:val="None"/>
          <w:rFonts w:ascii="Times New Roman" w:hAnsi="Times New Roman"/>
          <w:rtl w:val="0"/>
          <w:lang w:val="en-US"/>
        </w:rPr>
        <w:t>a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nd 75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°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F.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a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rea for installation must be in controlled conditions. </w:t>
      </w:r>
    </w:p>
    <w:p>
      <w:pPr>
        <w:pStyle w:val="Body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 sufficient area for staging and mixing materials to be provided. </w:t>
      </w:r>
    </w:p>
    <w:p>
      <w:pPr>
        <w:pStyle w:val="Body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Building to be closed in with no water intrusion </w:t>
      </w:r>
      <w:r>
        <w:rPr>
          <w:rStyle w:val="None"/>
          <w:rFonts w:ascii="Times New Roman" w:hAnsi="Times New Roman"/>
          <w:rtl w:val="0"/>
          <w:lang w:val="en-US"/>
        </w:rPr>
        <w:t>on the surface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during the installation or curing process. </w:t>
      </w:r>
    </w:p>
    <w:p>
      <w:pPr>
        <w:pStyle w:val="Body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Existing Concrete Surfaces</w:t>
      </w:r>
    </w:p>
    <w:p>
      <w:pPr>
        <w:pStyle w:val="Body"/>
        <w:spacing w:line="276" w:lineRule="auto"/>
        <w:ind w:left="720" w:firstLine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Prohibit improper application of liquid membrane-forming curing compounds, vehicles parking over the concrete surface, pipe-cutting operations over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concrete surface, storage of items on concrete less than 28 days old, petroleum, oil, hydraulic fluid, and acids, as these may all affect final finish of floor treatment.</w:t>
      </w:r>
    </w:p>
    <w:p>
      <w:pPr>
        <w:pStyle w:val="Body"/>
        <w:spacing w:line="276" w:lineRule="auto"/>
        <w:ind w:left="1440" w:firstLine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ind w:left="1440" w:firstLine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de-DE"/>
        </w:rPr>
        <w:t xml:space="preserve">1.5  </w:t>
        <w:tab/>
        <w:t xml:space="preserve">WARRANTY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18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Dancer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Design warrants that material and installation are free from defects and will perform substantially. </w:t>
      </w:r>
    </w:p>
    <w:p>
      <w:pPr>
        <w:pStyle w:val="Body"/>
        <w:numPr>
          <w:ilvl w:val="0"/>
          <w:numId w:val="18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Dancer Design</w:t>
      </w:r>
      <w:r>
        <w:rPr>
          <w:rStyle w:val="None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s liability with respect to this warranty covers labor and material of the installation for a period of two years.  </w:t>
      </w:r>
    </w:p>
    <w:p>
      <w:pPr>
        <w:pStyle w:val="Body"/>
        <w:spacing w:line="276" w:lineRule="auto"/>
        <w:ind w:left="720" w:firstLine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PART 2 </w:t>
      </w:r>
      <w:r>
        <w:rPr>
          <w:rStyle w:val="None"/>
          <w:rFonts w:ascii="Times New Roman" w:hAnsi="Times New Roman" w:hint="default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one"/>
          <w:rFonts w:ascii="Times New Roman" w:hAnsi="Times New Roman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PRODUCTS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2.1 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 xml:space="preserve">ACCEPTABLE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MANUFACTURERS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0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Basis of Design: for products and materials specified from SURFACE Polish by Dancer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Design, Fort Wayne, Indiana. Single-source warranty carried by installer.  Products of the manufacture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are approved provided compliance with all technical requirements as specified herein:</w:t>
      </w:r>
    </w:p>
    <w:p>
      <w:pPr>
        <w:pStyle w:val="Body"/>
        <w:spacing w:line="276" w:lineRule="auto"/>
        <w:ind w:left="720" w:firstLine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2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Dancer Design, </w:t>
      </w:r>
      <w:r>
        <w:rPr>
          <w:rStyle w:val="None"/>
          <w:rFonts w:ascii="Times New Roman" w:hAnsi="Times New Roman"/>
          <w:rtl w:val="0"/>
          <w:lang w:val="en-US"/>
        </w:rPr>
        <w:t>Surface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Polish </w:t>
      </w:r>
      <w:r>
        <w:rPr>
          <w:rStyle w:val="None"/>
          <w:rFonts w:ascii="Times New Roman" w:hAnsi="Times New Roman"/>
          <w:rtl w:val="0"/>
        </w:rPr>
        <w:t>Overlay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Fort Wayne, IN. Contact Nick Dancer, 260-415-1951, </w:t>
      </w:r>
      <w:r>
        <w:rPr>
          <w:rStyle w:val="Hyperlink.2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</w:rPr>
        <w:instrText xml:space="preserve"> HYPERLINK "mailto:nick@dancer.design"</w:instrText>
      </w:r>
      <w:r>
        <w:rPr>
          <w:rStyle w:val="Hyperlink.2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2"/>
          <w:rFonts w:ascii="Times New Roman" w:hAnsi="Times New Roman"/>
          <w:rtl w:val="0"/>
          <w:lang w:val="en-US"/>
        </w:rPr>
        <w:t>nick@dancer.design</w:t>
      </w:r>
      <w:r>
        <w:rPr>
          <w:rFonts w:ascii="Times New Roman" w:cs="Times New Roman" w:hAnsi="Times New Roman" w:eastAsia="Times New Roman"/>
        </w:rPr>
        <w:fldChar w:fldCharType="end" w:fldLock="0"/>
      </w:r>
    </w:p>
    <w:p>
      <w:pPr>
        <w:pStyle w:val="Body"/>
        <w:numPr>
          <w:ilvl w:val="0"/>
          <w:numId w:val="22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Rapid Set by CTS, TRU-PC Topping </w:t>
      </w:r>
    </w:p>
    <w:p>
      <w:pPr>
        <w:pStyle w:val="Body"/>
        <w:spacing w:line="276" w:lineRule="auto"/>
        <w:ind w:left="720" w:firstLine="720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76" w:lineRule="auto"/>
        <w:ind w:left="720" w:firstLine="72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2.1 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ab/>
        <w:t xml:space="preserve">PRODUCTS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s-ES_tradnl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Primer </w:t>
      </w:r>
    </w:p>
    <w:p>
      <w:pPr>
        <w:pStyle w:val="Body"/>
        <w:spacing w:line="276" w:lineRule="auto"/>
        <w:ind w:left="720" w:firstLine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6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A high-performance</w:t>
      </w:r>
      <w:r>
        <w:rPr>
          <w:rStyle w:val="None"/>
          <w:rFonts w:ascii="Times New Roman" w:hAnsi="Times New Roman"/>
          <w:rtl w:val="0"/>
          <w:lang w:val="en-US"/>
        </w:rPr>
        <w:t>,</w:t>
      </w:r>
      <w:r>
        <w:rPr>
          <w:rStyle w:val="None"/>
          <w:rFonts w:ascii="Times New Roman" w:hAnsi="Times New Roman"/>
          <w:rtl w:val="0"/>
          <w:lang w:val="en-US"/>
        </w:rPr>
        <w:t xml:space="preserve"> 100% solids </w:t>
      </w:r>
      <w:r>
        <w:rPr>
          <w:rStyle w:val="None"/>
          <w:rFonts w:ascii="Times New Roman" w:hAnsi="Times New Roman" w:hint="default"/>
          <w:rtl w:val="0"/>
          <w:lang w:val="en-US"/>
        </w:rPr>
        <w:t xml:space="preserve">– </w:t>
      </w:r>
      <w:r>
        <w:rPr>
          <w:rStyle w:val="None"/>
          <w:rFonts w:ascii="Times New Roman" w:hAnsi="Times New Roman"/>
          <w:rtl w:val="0"/>
          <w:lang w:val="en-US"/>
        </w:rPr>
        <w:t>no VOC, moisture-tolerant primer to be used with cementitious overlays</w:t>
      </w:r>
    </w:p>
    <w:p>
      <w:pPr>
        <w:pStyle w:val="Body"/>
        <w:numPr>
          <w:ilvl w:val="1"/>
          <w:numId w:val="26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Dancer Design; Surface 2:1 Epoxy Primer, resin, and hardener.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7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Topping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9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 pre-packaged, high-performance, self-leveling cementitious topping that can subsequently be ground and polished or ground and sealed to provide the aesthetic of Class B polished concrete. </w:t>
      </w:r>
    </w:p>
    <w:p>
      <w:pPr>
        <w:pStyle w:val="Body"/>
        <w:numPr>
          <w:ilvl w:val="1"/>
          <w:numId w:val="29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Dancer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Design; </w:t>
      </w:r>
      <w:r>
        <w:rPr>
          <w:rStyle w:val="None"/>
          <w:rFonts w:ascii="Times New Roman" w:hAnsi="Times New Roman"/>
          <w:rtl w:val="0"/>
          <w:lang w:val="en-US"/>
        </w:rPr>
        <w:t>Surface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rtl w:val="0"/>
        </w:rPr>
        <w:t>Overlay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cs="Times New Roman" w:hAnsi="Times New Roman" w:eastAsia="Times New Roman"/>
        </w:rPr>
        <w:tab/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2.3 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REPAIR PRODUCTS</w:t>
      </w:r>
      <w:r>
        <w:rPr>
          <w:rStyle w:val="None"/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31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Grout Coat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33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 cementitious-based, acrylic-modified slurry used to fill in surface imperfections, small cracks, and pop-outs on the floor.</w:t>
      </w:r>
    </w:p>
    <w:p>
      <w:pPr>
        <w:pStyle w:val="Body"/>
        <w:numPr>
          <w:ilvl w:val="1"/>
          <w:numId w:val="33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Dancer</w:t>
      </w:r>
      <w:r>
        <w:rPr>
          <w:rStyle w:val="None"/>
          <w:rFonts w:ascii="Times New Roman" w:hAnsi="Times New Roman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rtl w:val="0"/>
          <w:lang w:val="en-US"/>
        </w:rPr>
        <w:t>Design; Repair Grout Coat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u w:val="single"/>
        </w:rPr>
      </w:pPr>
      <w:r>
        <w:rPr>
          <w:rStyle w:val="None"/>
          <w:rFonts w:ascii="Times New Roman" w:hAnsi="Times New Roman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PART 3 - EXECUTION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3.1 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EXAMINATION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0"/>
          <w:numId w:val="35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Examine substrates, area, and conditions, regarding moisture content, installation, and any condition that could affect flooring performance.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3.2 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PREPARATION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0"/>
          <w:numId w:val="37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General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39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New and existing concrete surfaces to be free </w:t>
      </w:r>
      <w:r>
        <w:rPr>
          <w:rStyle w:val="None"/>
          <w:rFonts w:ascii="Times New Roman" w:hAnsi="Times New Roman"/>
          <w:rtl w:val="0"/>
          <w:lang w:val="en-US"/>
        </w:rPr>
        <w:t>of contaminants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that may inhibit proper bonding of concrete surface. </w:t>
      </w:r>
    </w:p>
    <w:p>
      <w:pPr>
        <w:pStyle w:val="Body"/>
        <w:numPr>
          <w:ilvl w:val="0"/>
          <w:numId w:val="39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Moisture testing to be done by relative humidity testing, ASTM F 2170.</w:t>
      </w:r>
    </w:p>
    <w:p>
      <w:pPr>
        <w:pStyle w:val="Body"/>
        <w:numPr>
          <w:ilvl w:val="0"/>
          <w:numId w:val="39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surface shall be mechanically profiled by shot blasting or grinding, equipped with a HEPA vacuum system to maintain air quality during preparation. Minimum profile must be CSP 3-4 as detailed by ICPI. </w:t>
      </w:r>
    </w:p>
    <w:p>
      <w:pPr>
        <w:pStyle w:val="Body"/>
        <w:numPr>
          <w:ilvl w:val="0"/>
          <w:numId w:val="39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Cracks and non-moving control joints to be repaired per </w:t>
      </w:r>
      <w:r>
        <w:rPr>
          <w:rStyle w:val="None"/>
          <w:rFonts w:ascii="Times New Roman" w:hAnsi="Times New Roman"/>
          <w:rtl w:val="0"/>
          <w:lang w:val="en-US"/>
        </w:rPr>
        <w:t>manufacturer's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specification. All cold joints to be honored through the installed system and filled with an elastomeric joint filler.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3.3 </w:t>
        <w:tab/>
        <w:t>APPLICATION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0"/>
          <w:numId w:val="41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General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43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The system shall follow the contour of the floor unless noted</w:t>
      </w:r>
      <w:r>
        <w:rPr>
          <w:rStyle w:val="None"/>
          <w:rFonts w:ascii="Times New Roman" w:hAnsi="Times New Roman"/>
          <w:rtl w:val="0"/>
          <w:lang w:val="en-US"/>
        </w:rPr>
        <w:t>,</w:t>
      </w:r>
      <w:r>
        <w:rPr>
          <w:rStyle w:val="None"/>
          <w:rFonts w:ascii="Times New Roman" w:hAnsi="Times New Roman"/>
          <w:rtl w:val="0"/>
          <w:lang w:val="en-US"/>
        </w:rPr>
        <w:t xml:space="preserve"> patching or additional leveling specified by the Architect. </w:t>
      </w:r>
    </w:p>
    <w:p>
      <w:pPr>
        <w:pStyle w:val="Body"/>
        <w:numPr>
          <w:ilvl w:val="0"/>
          <w:numId w:val="43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The finish shall have a neat, clean, and organized appearance with straight lines and well</w:t>
      </w:r>
      <w:r>
        <w:rPr>
          <w:rStyle w:val="None"/>
          <w:rFonts w:ascii="Times New Roman" w:hAnsi="Times New Roman"/>
          <w:rtl w:val="0"/>
          <w:lang w:val="en-US"/>
        </w:rPr>
        <w:t>-</w:t>
      </w:r>
      <w:r>
        <w:rPr>
          <w:rStyle w:val="None"/>
          <w:rFonts w:ascii="Times New Roman" w:hAnsi="Times New Roman"/>
          <w:rtl w:val="0"/>
          <w:lang w:val="en-US"/>
        </w:rPr>
        <w:t xml:space="preserve">defined boundaries of the installation. </w:t>
      </w:r>
    </w:p>
    <w:p>
      <w:pPr>
        <w:pStyle w:val="Body"/>
        <w:numPr>
          <w:ilvl w:val="0"/>
          <w:numId w:val="43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Zinc terrazzo divider strips to be placed as needed to define boundary limits for application. Architect to specify </w:t>
      </w:r>
      <w:r>
        <w:rPr>
          <w:rStyle w:val="None"/>
          <w:rFonts w:ascii="Times New Roman" w:hAnsi="Times New Roman"/>
          <w:rtl w:val="0"/>
          <w:lang w:val="en-US"/>
        </w:rPr>
        <w:t xml:space="preserve">a </w:t>
      </w:r>
      <w:r>
        <w:rPr>
          <w:rStyle w:val="None"/>
          <w:rFonts w:ascii="Times New Roman" w:hAnsi="Times New Roman"/>
          <w:rtl w:val="0"/>
          <w:lang w:val="en-US"/>
        </w:rPr>
        <w:t xml:space="preserve">noted plan if these are to be used in a more specific way.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4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s-ES_tradnl"/>
        </w:rPr>
      </w:pPr>
      <w:r>
        <w:rPr>
          <w:rStyle w:val="None"/>
          <w:rFonts w:ascii="Times New Roman" w:hAnsi="Times New Roman"/>
          <w:rtl w:val="0"/>
          <w:lang w:val="es-ES_tradnl"/>
        </w:rPr>
        <w:t xml:space="preserve">Primer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46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The primer shall be Surface  2:1 Primer. The catalyzed product shall be mixed per manufacturer's recommendation. </w:t>
      </w:r>
    </w:p>
    <w:p>
      <w:pPr>
        <w:pStyle w:val="Body"/>
        <w:numPr>
          <w:ilvl w:val="0"/>
          <w:numId w:val="46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The primer shall be applied by squeegee and roller at the rate of 100 SF per gallon with a quartz sand broadcast into the wet film.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47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Topping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49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The Topping shall be Surface Overlay. The topping product shall be mixed per manufacturer's recommendation. </w:t>
      </w:r>
    </w:p>
    <w:p>
      <w:pPr>
        <w:pStyle w:val="Body"/>
        <w:numPr>
          <w:ilvl w:val="0"/>
          <w:numId w:val="49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The topping shall be applied over a sand broadcast primer at a coverage of 16 SF per mixed bag or 0.60 cu ft.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50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Finishing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52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The finishing process selected shall be detailed in additional specifications. </w:t>
      </w:r>
    </w:p>
    <w:p>
      <w:pPr>
        <w:pStyle w:val="Body"/>
        <w:spacing w:line="276" w:lineRule="auto"/>
        <w:ind w:left="1440" w:firstLine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  <w:ind w:left="1440" w:firstLine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 xml:space="preserve">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3.3 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PROTECTION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5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flooring shall be allowed to cure for 24 hours before other trades walk on the surface. Floor to be protected from abrasive traffic that will mark or divot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concrete surface and all oil or acidic spills. </w:t>
      </w: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line="276" w:lineRule="auto"/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END OF SECTION 03 53 00</w:t>
      </w:r>
      <w:r>
        <w:rPr>
          <w:rStyle w:val="None"/>
          <w:rFonts w:ascii="Times New Roman" w:cs="Times New Roman" w:hAnsi="Times New Roman" w:eastAsia="Times New Roman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680"/>
        <w:tab w:val="right" w:pos="9340"/>
      </w:tabs>
      <w:jc w:val="right"/>
      <w:rPr>
        <w:rFonts w:ascii="Times New Roman" w:cs="Times New Roman" w:hAnsi="Times New Roman" w:eastAsia="Times New Roman"/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:lang w:val="en-US"/>
        <w14:textFill>
          <w14:solidFill>
            <w14:srgbClr w14:val="000000"/>
          </w14:solidFill>
        </w14:textFill>
      </w:rPr>
      <w:t xml:space="preserve">SECTION 03 53 00 </w:t>
    </w:r>
    <w:r>
      <w:rPr>
        <w:rFonts w:ascii="Times New Roman" w:hAnsi="Times New Roman" w:hint="default"/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:lang w:val="en-US"/>
        <w14:textFill>
          <w14:solidFill>
            <w14:srgbClr w14:val="000000"/>
          </w14:solidFill>
        </w14:textFill>
      </w:rPr>
      <w:t xml:space="preserve">– </w:t>
    </w:r>
    <w:r>
      <w:rPr>
        <w:rFonts w:ascii="Times New Roman" w:hAnsi="Times New Roman"/>
        <w:rtl w:val="0"/>
      </w:rPr>
      <w:t>SURFACE POLISH</w:t>
    </w:r>
    <w:r>
      <w:rPr>
        <w:rFonts w:ascii="Times New Roman" w:hAnsi="Times New Roman"/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:lang w:val="en-US"/>
        <w14:textFill>
          <w14:solidFill>
            <w14:srgbClr w14:val="000000"/>
          </w14:solidFill>
        </w14:textFill>
      </w:rPr>
      <w:t xml:space="preserve"> OVERLAY</w:t>
    </w:r>
  </w:p>
  <w:p>
    <w:pPr>
      <w:pStyle w:val="Body"/>
      <w:tabs>
        <w:tab w:val="center" w:pos="4680"/>
        <w:tab w:val="right" w:pos="9340"/>
      </w:tabs>
      <w:jc w:val="right"/>
    </w:pPr>
    <w:r>
      <w:rPr>
        <w:rFonts w:ascii="Times New Roman" w:hAnsi="Times New Roman"/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:lang w:val="de-DE"/>
        <w14:textFill>
          <w14:solidFill>
            <w14:srgbClr w14:val="000000"/>
          </w14:solidFill>
        </w14:textFill>
      </w:rPr>
      <w:t>DANCER</w:t>
    </w:r>
    <w:r>
      <w:rPr>
        <w:rFonts w:ascii="Times New Roman" w:hAnsi="Times New Roman"/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:lang w:val="en-US"/>
        <w14:textFill>
          <w14:solidFill>
            <w14:srgbClr w14:val="000000"/>
          </w14:solidFill>
        </w14:textFill>
      </w:rPr>
      <w:t xml:space="preserve"> </w:t>
    </w:r>
    <w:r>
      <w:rPr>
        <w:rFonts w:ascii="Times New Roman" w:hAnsi="Times New Roman"/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:lang w:val="pt-PT"/>
        <w14:textFill>
          <w14:solidFill>
            <w14:srgbClr w14:val="000000"/>
          </w14:solidFill>
        </w14:textFill>
      </w:rPr>
      <w:t>DESIGN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+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Imported Style 21"/>
  </w:abstractNum>
  <w:abstractNum w:abstractNumId="41">
    <w:multiLevelType w:val="hybridMultilevel"/>
    <w:styleLink w:val="Imported Style 21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mported Style 22"/>
  </w:abstractNum>
  <w:abstractNum w:abstractNumId="43">
    <w:multiLevelType w:val="hybridMultilevel"/>
    <w:styleLink w:val="Imported Style 22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Imported Style 23"/>
  </w:abstractNum>
  <w:abstractNum w:abstractNumId="45">
    <w:multiLevelType w:val="hybridMultilevel"/>
    <w:styleLink w:val="Imported Style 23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Imported Style 24"/>
  </w:abstractNum>
  <w:abstractNum w:abstractNumId="47">
    <w:multiLevelType w:val="hybridMultilevel"/>
    <w:styleLink w:val="Imported Style 24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Imported Style 25"/>
  </w:abstractNum>
  <w:abstractNum w:abstractNumId="49">
    <w:multiLevelType w:val="hybridMultilevel"/>
    <w:styleLink w:val="Imported Style 25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2"/>
    <w:lvlOverride w:ilvl="0">
      <w:startOverride w:val="2"/>
    </w:lvlOverride>
  </w:num>
  <w:num w:numId="28">
    <w:abstractNumId w:val="27"/>
  </w:num>
  <w:num w:numId="29">
    <w:abstractNumId w:val="26"/>
  </w:num>
  <w:num w:numId="30">
    <w:abstractNumId w:val="29"/>
  </w:num>
  <w:num w:numId="31">
    <w:abstractNumId w:val="28"/>
  </w:num>
  <w:num w:numId="32">
    <w:abstractNumId w:val="31"/>
  </w:num>
  <w:num w:numId="33">
    <w:abstractNumId w:val="30"/>
  </w:num>
  <w:num w:numId="34">
    <w:abstractNumId w:val="33"/>
  </w:num>
  <w:num w:numId="35">
    <w:abstractNumId w:val="32"/>
  </w:num>
  <w:num w:numId="36">
    <w:abstractNumId w:val="35"/>
  </w:num>
  <w:num w:numId="37">
    <w:abstractNumId w:val="34"/>
  </w:num>
  <w:num w:numId="38">
    <w:abstractNumId w:val="37"/>
  </w:num>
  <w:num w:numId="39">
    <w:abstractNumId w:val="36"/>
  </w:num>
  <w:num w:numId="40">
    <w:abstractNumId w:val="39"/>
  </w:num>
  <w:num w:numId="41">
    <w:abstractNumId w:val="38"/>
  </w:num>
  <w:num w:numId="42">
    <w:abstractNumId w:val="41"/>
  </w:num>
  <w:num w:numId="43">
    <w:abstractNumId w:val="40"/>
  </w:num>
  <w:num w:numId="44">
    <w:abstractNumId w:val="38"/>
    <w:lvlOverride w:ilvl="0">
      <w:startOverride w:val="2"/>
    </w:lvlOverride>
  </w:num>
  <w:num w:numId="45">
    <w:abstractNumId w:val="43"/>
  </w:num>
  <w:num w:numId="46">
    <w:abstractNumId w:val="42"/>
  </w:num>
  <w:num w:numId="47">
    <w:abstractNumId w:val="38"/>
    <w:lvlOverride w:ilvl="0">
      <w:startOverride w:val="3"/>
    </w:lvlOverride>
  </w:num>
  <w:num w:numId="48">
    <w:abstractNumId w:val="45"/>
  </w:num>
  <w:num w:numId="49">
    <w:abstractNumId w:val="44"/>
  </w:num>
  <w:num w:numId="50">
    <w:abstractNumId w:val="38"/>
    <w:lvlOverride w:ilvl="0">
      <w:startOverride w:val="4"/>
    </w:lvlOverride>
  </w:num>
  <w:num w:numId="51">
    <w:abstractNumId w:val="47"/>
  </w:num>
  <w:num w:numId="52">
    <w:abstractNumId w:val="46"/>
  </w:num>
  <w:num w:numId="53">
    <w:abstractNumId w:val="49"/>
  </w:num>
  <w:num w:numId="5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  <w:style w:type="character" w:styleId="Hyperlink.2">
    <w:name w:val="Hyperlink.2"/>
    <w:basedOn w:val="None"/>
    <w:next w:val="Hyperlink.2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8"/>
      </w:numPr>
    </w:pPr>
  </w:style>
  <w:style w:type="numbering" w:styleId="Imported Style 15">
    <w:name w:val="Imported Style 15"/>
    <w:pPr>
      <w:numPr>
        <w:numId w:val="30"/>
      </w:numPr>
    </w:pPr>
  </w:style>
  <w:style w:type="numbering" w:styleId="Imported Style 16">
    <w:name w:val="Imported Style 16"/>
    <w:pPr>
      <w:numPr>
        <w:numId w:val="32"/>
      </w:numPr>
    </w:pPr>
  </w:style>
  <w:style w:type="numbering" w:styleId="Imported Style 17">
    <w:name w:val="Imported Style 17"/>
    <w:pPr>
      <w:numPr>
        <w:numId w:val="34"/>
      </w:numPr>
    </w:pPr>
  </w:style>
  <w:style w:type="numbering" w:styleId="Imported Style 18">
    <w:name w:val="Imported Style 18"/>
    <w:pPr>
      <w:numPr>
        <w:numId w:val="36"/>
      </w:numPr>
    </w:pPr>
  </w:style>
  <w:style w:type="numbering" w:styleId="Imported Style 19">
    <w:name w:val="Imported Style 19"/>
    <w:pPr>
      <w:numPr>
        <w:numId w:val="38"/>
      </w:numPr>
    </w:pPr>
  </w:style>
  <w:style w:type="numbering" w:styleId="Imported Style 20">
    <w:name w:val="Imported Style 20"/>
    <w:pPr>
      <w:numPr>
        <w:numId w:val="40"/>
      </w:numPr>
    </w:pPr>
  </w:style>
  <w:style w:type="numbering" w:styleId="Imported Style 21">
    <w:name w:val="Imported Style 21"/>
    <w:pPr>
      <w:numPr>
        <w:numId w:val="42"/>
      </w:numPr>
    </w:pPr>
  </w:style>
  <w:style w:type="numbering" w:styleId="Imported Style 22">
    <w:name w:val="Imported Style 22"/>
    <w:pPr>
      <w:numPr>
        <w:numId w:val="45"/>
      </w:numPr>
    </w:pPr>
  </w:style>
  <w:style w:type="numbering" w:styleId="Imported Style 23">
    <w:name w:val="Imported Style 23"/>
    <w:pPr>
      <w:numPr>
        <w:numId w:val="48"/>
      </w:numPr>
    </w:pPr>
  </w:style>
  <w:style w:type="numbering" w:styleId="Imported Style 24">
    <w:name w:val="Imported Style 24"/>
    <w:pPr>
      <w:numPr>
        <w:numId w:val="51"/>
      </w:numPr>
    </w:pPr>
  </w:style>
  <w:style w:type="numbering" w:styleId="Imported Style 25">
    <w:name w:val="Imported Style 25"/>
    <w:pPr>
      <w:numPr>
        <w:numId w:val="5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